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FD496" w14:textId="020E2B21" w:rsidR="00AC7DC6" w:rsidRPr="007846EF" w:rsidRDefault="000237D4" w:rsidP="000237D4">
      <w:pPr>
        <w:jc w:val="center"/>
        <w:rPr>
          <w:b/>
          <w:bCs/>
          <w:sz w:val="40"/>
          <w:szCs w:val="40"/>
        </w:rPr>
      </w:pPr>
      <w:r>
        <w:rPr>
          <w:noProof/>
        </w:rPr>
        <w:drawing>
          <wp:anchor distT="0" distB="0" distL="114300" distR="114300" simplePos="0" relativeHeight="251658240" behindDoc="1" locked="0" layoutInCell="1" allowOverlap="1" wp14:anchorId="260C0758" wp14:editId="14865CBF">
            <wp:simplePos x="0" y="0"/>
            <wp:positionH relativeFrom="column">
              <wp:posOffset>457200</wp:posOffset>
            </wp:positionH>
            <wp:positionV relativeFrom="paragraph">
              <wp:posOffset>0</wp:posOffset>
            </wp:positionV>
            <wp:extent cx="1435100" cy="681355"/>
            <wp:effectExtent l="0" t="0" r="0" b="4445"/>
            <wp:wrapTight wrapText="bothSides">
              <wp:wrapPolygon edited="0">
                <wp:start x="5161" y="0"/>
                <wp:lineTo x="0" y="4227"/>
                <wp:lineTo x="0" y="21137"/>
                <wp:lineTo x="1147" y="21137"/>
                <wp:lineTo x="14910" y="21137"/>
                <wp:lineTo x="21218" y="20533"/>
                <wp:lineTo x="21218" y="4227"/>
                <wp:lineTo x="13763" y="0"/>
                <wp:lineTo x="5161" y="0"/>
              </wp:wrapPolygon>
            </wp:wrapTight>
            <wp:docPr id="1" name="Picture 1"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vot_logo_sm.png"/>
                    <pic:cNvPicPr/>
                  </pic:nvPicPr>
                  <pic:blipFill>
                    <a:blip r:embed="rId7">
                      <a:extLst>
                        <a:ext uri="{28A0092B-C50C-407E-A947-70E740481C1C}">
                          <a14:useLocalDpi xmlns:a14="http://schemas.microsoft.com/office/drawing/2010/main" val="0"/>
                        </a:ext>
                      </a:extLst>
                    </a:blip>
                    <a:stretch>
                      <a:fillRect/>
                    </a:stretch>
                  </pic:blipFill>
                  <pic:spPr>
                    <a:xfrm>
                      <a:off x="0" y="0"/>
                      <a:ext cx="1435100" cy="681355"/>
                    </a:xfrm>
                    <a:prstGeom prst="rect">
                      <a:avLst/>
                    </a:prstGeom>
                  </pic:spPr>
                </pic:pic>
              </a:graphicData>
            </a:graphic>
            <wp14:sizeRelH relativeFrom="margin">
              <wp14:pctWidth>0</wp14:pctWidth>
            </wp14:sizeRelH>
            <wp14:sizeRelV relativeFrom="margin">
              <wp14:pctHeight>0</wp14:pctHeight>
            </wp14:sizeRelV>
          </wp:anchor>
        </w:drawing>
      </w:r>
      <w:r w:rsidR="00AC7DC6" w:rsidRPr="007846EF">
        <w:rPr>
          <w:b/>
          <w:bCs/>
          <w:sz w:val="40"/>
          <w:szCs w:val="40"/>
        </w:rPr>
        <w:t xml:space="preserve">CARES Act </w:t>
      </w:r>
      <w:r w:rsidR="007846EF" w:rsidRPr="007846EF">
        <w:rPr>
          <w:b/>
          <w:bCs/>
          <w:sz w:val="40"/>
          <w:szCs w:val="40"/>
        </w:rPr>
        <w:t xml:space="preserve">Guide: </w:t>
      </w:r>
      <w:r w:rsidR="00AC7DC6" w:rsidRPr="007846EF">
        <w:rPr>
          <w:b/>
          <w:bCs/>
          <w:sz w:val="40"/>
          <w:szCs w:val="40"/>
        </w:rPr>
        <w:t>Tax Modifications</w:t>
      </w:r>
    </w:p>
    <w:tbl>
      <w:tblPr>
        <w:tblStyle w:val="TableGrid"/>
        <w:tblW w:w="13134" w:type="dxa"/>
        <w:jc w:val="center"/>
        <w:tblLook w:val="04A0" w:firstRow="1" w:lastRow="0" w:firstColumn="1" w:lastColumn="0" w:noHBand="0" w:noVBand="1"/>
      </w:tblPr>
      <w:tblGrid>
        <w:gridCol w:w="3216"/>
        <w:gridCol w:w="3762"/>
        <w:gridCol w:w="3216"/>
        <w:gridCol w:w="2940"/>
      </w:tblGrid>
      <w:tr w:rsidR="006916ED" w14:paraId="316E14C2" w14:textId="77777777" w:rsidTr="000237D4">
        <w:trPr>
          <w:trHeight w:val="684"/>
          <w:jc w:val="center"/>
        </w:trPr>
        <w:tc>
          <w:tcPr>
            <w:tcW w:w="3216" w:type="dxa"/>
            <w:tcBorders>
              <w:top w:val="nil"/>
              <w:left w:val="nil"/>
            </w:tcBorders>
          </w:tcPr>
          <w:p w14:paraId="15E60EB4" w14:textId="77777777" w:rsidR="006916ED" w:rsidRDefault="006916ED"/>
        </w:tc>
        <w:tc>
          <w:tcPr>
            <w:tcW w:w="3762" w:type="dxa"/>
            <w:shd w:val="clear" w:color="auto" w:fill="463190"/>
            <w:vAlign w:val="center"/>
          </w:tcPr>
          <w:p w14:paraId="73BFE7CF" w14:textId="565E6AEE" w:rsidR="007846EF" w:rsidRPr="000237D4" w:rsidRDefault="00E639FC" w:rsidP="007846EF">
            <w:pPr>
              <w:jc w:val="center"/>
              <w:rPr>
                <w:b/>
                <w:bCs/>
                <w:color w:val="FFFFFF" w:themeColor="background1"/>
                <w:sz w:val="24"/>
                <w:szCs w:val="24"/>
              </w:rPr>
            </w:pPr>
            <w:r w:rsidRPr="000237D4">
              <w:rPr>
                <w:b/>
                <w:bCs/>
                <w:color w:val="FFFFFF" w:themeColor="background1"/>
                <w:sz w:val="24"/>
                <w:szCs w:val="24"/>
              </w:rPr>
              <w:t>Regulations prior</w:t>
            </w:r>
            <w:r w:rsidR="006916ED" w:rsidRPr="000237D4">
              <w:rPr>
                <w:b/>
                <w:bCs/>
                <w:color w:val="FFFFFF" w:themeColor="background1"/>
                <w:sz w:val="24"/>
                <w:szCs w:val="24"/>
              </w:rPr>
              <w:t xml:space="preserve"> to</w:t>
            </w:r>
          </w:p>
          <w:p w14:paraId="35CEDE84" w14:textId="79169E32" w:rsidR="006916ED" w:rsidRPr="007418DC" w:rsidRDefault="006916ED" w:rsidP="007846EF">
            <w:pPr>
              <w:jc w:val="center"/>
              <w:rPr>
                <w:b/>
                <w:bCs/>
                <w:sz w:val="24"/>
                <w:szCs w:val="24"/>
              </w:rPr>
            </w:pPr>
            <w:r w:rsidRPr="000237D4">
              <w:rPr>
                <w:b/>
                <w:bCs/>
                <w:color w:val="FFFFFF" w:themeColor="background1"/>
                <w:sz w:val="24"/>
                <w:szCs w:val="24"/>
              </w:rPr>
              <w:t>the CARES Act</w:t>
            </w:r>
          </w:p>
        </w:tc>
        <w:tc>
          <w:tcPr>
            <w:tcW w:w="3216" w:type="dxa"/>
            <w:shd w:val="clear" w:color="auto" w:fill="463190"/>
            <w:vAlign w:val="center"/>
          </w:tcPr>
          <w:p w14:paraId="6BE42798" w14:textId="7F39034D" w:rsidR="007846EF" w:rsidRPr="000237D4" w:rsidRDefault="006916ED" w:rsidP="007846EF">
            <w:pPr>
              <w:jc w:val="center"/>
              <w:rPr>
                <w:b/>
                <w:bCs/>
                <w:color w:val="FFFFFF" w:themeColor="background1"/>
                <w:sz w:val="24"/>
                <w:szCs w:val="24"/>
              </w:rPr>
            </w:pPr>
            <w:r w:rsidRPr="000237D4">
              <w:rPr>
                <w:b/>
                <w:bCs/>
                <w:color w:val="FFFFFF" w:themeColor="background1"/>
                <w:sz w:val="24"/>
                <w:szCs w:val="24"/>
              </w:rPr>
              <w:t>What did the CARES</w:t>
            </w:r>
          </w:p>
          <w:p w14:paraId="5C3B4099" w14:textId="242CF5F3" w:rsidR="006916ED" w:rsidRPr="000237D4" w:rsidRDefault="006916ED" w:rsidP="007846EF">
            <w:pPr>
              <w:jc w:val="center"/>
              <w:rPr>
                <w:b/>
                <w:bCs/>
                <w:color w:val="FFFFFF" w:themeColor="background1"/>
                <w:sz w:val="24"/>
                <w:szCs w:val="24"/>
              </w:rPr>
            </w:pPr>
            <w:r w:rsidRPr="000237D4">
              <w:rPr>
                <w:b/>
                <w:bCs/>
                <w:color w:val="FFFFFF" w:themeColor="background1"/>
                <w:sz w:val="24"/>
                <w:szCs w:val="24"/>
              </w:rPr>
              <w:t xml:space="preserve">Act </w:t>
            </w:r>
            <w:r w:rsidR="00BA3CA5" w:rsidRPr="000237D4">
              <w:rPr>
                <w:b/>
                <w:bCs/>
                <w:color w:val="FFFFFF" w:themeColor="background1"/>
                <w:sz w:val="24"/>
                <w:szCs w:val="24"/>
              </w:rPr>
              <w:t>change</w:t>
            </w:r>
            <w:r w:rsidRPr="000237D4">
              <w:rPr>
                <w:b/>
                <w:bCs/>
                <w:color w:val="FFFFFF" w:themeColor="background1"/>
                <w:sz w:val="24"/>
                <w:szCs w:val="24"/>
              </w:rPr>
              <w:t>?</w:t>
            </w:r>
          </w:p>
        </w:tc>
        <w:tc>
          <w:tcPr>
            <w:tcW w:w="2940" w:type="dxa"/>
            <w:shd w:val="clear" w:color="auto" w:fill="463190"/>
            <w:vAlign w:val="center"/>
          </w:tcPr>
          <w:p w14:paraId="7DF347CE" w14:textId="49408ED1" w:rsidR="007846EF" w:rsidRPr="000237D4" w:rsidRDefault="006916ED" w:rsidP="007846EF">
            <w:pPr>
              <w:jc w:val="center"/>
              <w:rPr>
                <w:b/>
                <w:bCs/>
                <w:color w:val="FFFFFF" w:themeColor="background1"/>
                <w:sz w:val="24"/>
                <w:szCs w:val="24"/>
              </w:rPr>
            </w:pPr>
            <w:r w:rsidRPr="000237D4">
              <w:rPr>
                <w:b/>
                <w:bCs/>
                <w:color w:val="FFFFFF" w:themeColor="background1"/>
                <w:sz w:val="24"/>
                <w:szCs w:val="24"/>
              </w:rPr>
              <w:t>What does this</w:t>
            </w:r>
          </w:p>
          <w:p w14:paraId="682A14D5" w14:textId="6767389A" w:rsidR="006916ED" w:rsidRPr="000237D4" w:rsidRDefault="006916ED" w:rsidP="007846EF">
            <w:pPr>
              <w:jc w:val="center"/>
              <w:rPr>
                <w:b/>
                <w:bCs/>
                <w:color w:val="FFFFFF" w:themeColor="background1"/>
                <w:sz w:val="24"/>
                <w:szCs w:val="24"/>
              </w:rPr>
            </w:pPr>
            <w:r w:rsidRPr="000237D4">
              <w:rPr>
                <w:b/>
                <w:bCs/>
                <w:color w:val="FFFFFF" w:themeColor="background1"/>
                <w:sz w:val="24"/>
                <w:szCs w:val="24"/>
              </w:rPr>
              <w:t>mean for me?</w:t>
            </w:r>
          </w:p>
        </w:tc>
      </w:tr>
      <w:tr w:rsidR="006916ED" w14:paraId="7893DD83" w14:textId="77777777" w:rsidTr="000237D4">
        <w:trPr>
          <w:trHeight w:val="1293"/>
          <w:jc w:val="center"/>
        </w:trPr>
        <w:tc>
          <w:tcPr>
            <w:tcW w:w="3216" w:type="dxa"/>
            <w:vAlign w:val="center"/>
          </w:tcPr>
          <w:p w14:paraId="671F2719" w14:textId="4ABB50F7" w:rsidR="006916ED" w:rsidRPr="007418DC" w:rsidRDefault="006916ED" w:rsidP="007846EF">
            <w:pPr>
              <w:jc w:val="center"/>
              <w:rPr>
                <w:b/>
                <w:bCs/>
                <w:sz w:val="24"/>
                <w:szCs w:val="24"/>
              </w:rPr>
            </w:pPr>
            <w:r w:rsidRPr="007418DC">
              <w:rPr>
                <w:b/>
                <w:bCs/>
                <w:sz w:val="24"/>
                <w:szCs w:val="24"/>
              </w:rPr>
              <w:t>Bonus Depreciation</w:t>
            </w:r>
          </w:p>
        </w:tc>
        <w:tc>
          <w:tcPr>
            <w:tcW w:w="3762" w:type="dxa"/>
            <w:vAlign w:val="center"/>
          </w:tcPr>
          <w:p w14:paraId="312BD502" w14:textId="5420B8F3" w:rsidR="006916ED" w:rsidRPr="00AC7DC6" w:rsidRDefault="006916ED" w:rsidP="007846EF">
            <w:pPr>
              <w:jc w:val="center"/>
            </w:pPr>
            <w:r w:rsidRPr="00AC7DC6">
              <w:t xml:space="preserve">100% bonus depreciation </w:t>
            </w:r>
            <w:r w:rsidR="00EE3D75" w:rsidRPr="00AC7DC6">
              <w:t>for eligible assets put in service after September 2017 (generally)</w:t>
            </w:r>
            <w:r w:rsidR="00AC7DC6" w:rsidRPr="00AC7DC6">
              <w:t>.</w:t>
            </w:r>
          </w:p>
        </w:tc>
        <w:tc>
          <w:tcPr>
            <w:tcW w:w="3216" w:type="dxa"/>
            <w:vAlign w:val="center"/>
          </w:tcPr>
          <w:p w14:paraId="799768EB" w14:textId="5C7D0325" w:rsidR="006916ED" w:rsidRPr="00AC7DC6" w:rsidRDefault="00EE3D75" w:rsidP="007846EF">
            <w:pPr>
              <w:jc w:val="center"/>
            </w:pPr>
            <w:r w:rsidRPr="00AC7DC6">
              <w:t>Added a new five-year carryback option to the already-existing bonus depreciation</w:t>
            </w:r>
            <w:r w:rsidR="00AC7DC6" w:rsidRPr="00AC7DC6">
              <w:t>.</w:t>
            </w:r>
          </w:p>
        </w:tc>
        <w:tc>
          <w:tcPr>
            <w:tcW w:w="2940" w:type="dxa"/>
            <w:vAlign w:val="center"/>
          </w:tcPr>
          <w:p w14:paraId="40A0EC3E" w14:textId="3F35F788" w:rsidR="006916ED" w:rsidRPr="00AC7DC6" w:rsidRDefault="00EE3D75" w:rsidP="007846EF">
            <w:pPr>
              <w:jc w:val="center"/>
            </w:pPr>
            <w:r w:rsidRPr="00AC7DC6">
              <w:t>Since NOLs can now be carried back (see below), consider reviewing all cost segregation.</w:t>
            </w:r>
          </w:p>
        </w:tc>
      </w:tr>
      <w:tr w:rsidR="000237D4" w14:paraId="740F08A8" w14:textId="77777777" w:rsidTr="000237D4">
        <w:trPr>
          <w:trHeight w:val="2133"/>
          <w:jc w:val="center"/>
        </w:trPr>
        <w:tc>
          <w:tcPr>
            <w:tcW w:w="3216" w:type="dxa"/>
            <w:shd w:val="clear" w:color="auto" w:fill="D5CEEE"/>
            <w:vAlign w:val="center"/>
          </w:tcPr>
          <w:p w14:paraId="5BA5E65F" w14:textId="77FF8FE7" w:rsidR="006916ED" w:rsidRPr="007418DC" w:rsidRDefault="00EE3D75" w:rsidP="007846EF">
            <w:pPr>
              <w:jc w:val="center"/>
              <w:rPr>
                <w:b/>
                <w:bCs/>
                <w:sz w:val="24"/>
                <w:szCs w:val="24"/>
              </w:rPr>
            </w:pPr>
            <w:r w:rsidRPr="007418DC">
              <w:rPr>
                <w:b/>
                <w:bCs/>
                <w:sz w:val="24"/>
                <w:szCs w:val="24"/>
              </w:rPr>
              <w:t>Excess Business Loss Carryback</w:t>
            </w:r>
          </w:p>
        </w:tc>
        <w:tc>
          <w:tcPr>
            <w:tcW w:w="3762" w:type="dxa"/>
            <w:shd w:val="clear" w:color="auto" w:fill="D5CEEE"/>
            <w:vAlign w:val="center"/>
          </w:tcPr>
          <w:p w14:paraId="0683A70D" w14:textId="7E0CDEDA" w:rsidR="006916ED" w:rsidRPr="00AC7DC6" w:rsidRDefault="00AC7DC6" w:rsidP="007846EF">
            <w:pPr>
              <w:jc w:val="center"/>
            </w:pPr>
            <w:r w:rsidRPr="00AC7DC6">
              <w:t>Deductions attributable to a trade or business for noncorporate taxpayers capped at income + $250,000 ($500,000 for MFJ).</w:t>
            </w:r>
          </w:p>
        </w:tc>
        <w:tc>
          <w:tcPr>
            <w:tcW w:w="3216" w:type="dxa"/>
            <w:shd w:val="clear" w:color="auto" w:fill="D5CEEE"/>
            <w:vAlign w:val="center"/>
          </w:tcPr>
          <w:p w14:paraId="03AC5DB7" w14:textId="34B091E8" w:rsidR="006916ED" w:rsidRPr="00AC7DC6" w:rsidRDefault="00AC7DC6" w:rsidP="007846EF">
            <w:pPr>
              <w:jc w:val="center"/>
            </w:pPr>
            <w:r w:rsidRPr="00AC7DC6">
              <w:t>Lifted the deduction cap for tax years beginning in 2018, 2019, and 2020.</w:t>
            </w:r>
          </w:p>
        </w:tc>
        <w:tc>
          <w:tcPr>
            <w:tcW w:w="2940" w:type="dxa"/>
            <w:shd w:val="clear" w:color="auto" w:fill="D5CEEE"/>
            <w:vAlign w:val="center"/>
          </w:tcPr>
          <w:p w14:paraId="0693ED9B" w14:textId="124283BA" w:rsidR="006916ED" w:rsidRPr="00AC7DC6" w:rsidRDefault="00AC7DC6" w:rsidP="007846EF">
            <w:pPr>
              <w:jc w:val="center"/>
            </w:pPr>
            <w:r w:rsidRPr="00AC7DC6">
              <w:t>Noncorporate taxpayers are no longer subject to the deduction threshold for those years</w:t>
            </w:r>
            <w:r w:rsidR="0048667B">
              <w:t>. F</w:t>
            </w:r>
            <w:r w:rsidRPr="00AC7DC6">
              <w:t>or tax years beginning in 2021 through 2026, those taxpayers can treat excess business losses as NOLs.</w:t>
            </w:r>
          </w:p>
        </w:tc>
      </w:tr>
      <w:tr w:rsidR="006916ED" w14:paraId="016E1BD8" w14:textId="77777777" w:rsidTr="000237D4">
        <w:trPr>
          <w:trHeight w:val="1276"/>
          <w:jc w:val="center"/>
        </w:trPr>
        <w:tc>
          <w:tcPr>
            <w:tcW w:w="3216" w:type="dxa"/>
            <w:vAlign w:val="center"/>
          </w:tcPr>
          <w:p w14:paraId="7FCBFB74" w14:textId="25C9D41D" w:rsidR="006916ED" w:rsidRPr="007418DC" w:rsidRDefault="00EE3D75" w:rsidP="007846EF">
            <w:pPr>
              <w:jc w:val="center"/>
              <w:rPr>
                <w:b/>
                <w:bCs/>
                <w:sz w:val="24"/>
                <w:szCs w:val="24"/>
              </w:rPr>
            </w:pPr>
            <w:r w:rsidRPr="007418DC">
              <w:rPr>
                <w:b/>
                <w:bCs/>
                <w:sz w:val="24"/>
                <w:szCs w:val="24"/>
              </w:rPr>
              <w:t>Interest Deductions</w:t>
            </w:r>
          </w:p>
        </w:tc>
        <w:tc>
          <w:tcPr>
            <w:tcW w:w="3762" w:type="dxa"/>
            <w:vAlign w:val="center"/>
          </w:tcPr>
          <w:p w14:paraId="4F7A9D08" w14:textId="10F6AEDB" w:rsidR="006916ED" w:rsidRPr="00AC7DC6" w:rsidRDefault="00AC7DC6" w:rsidP="007846EF">
            <w:pPr>
              <w:jc w:val="center"/>
            </w:pPr>
            <w:r w:rsidRPr="00AC7DC6">
              <w:t xml:space="preserve">The maximum deduction for business interest is </w:t>
            </w:r>
            <w:r w:rsidR="00025F78" w:rsidRPr="00AC7DC6">
              <w:t>30%</w:t>
            </w:r>
            <w:r w:rsidRPr="00AC7DC6">
              <w:t>.</w:t>
            </w:r>
          </w:p>
        </w:tc>
        <w:tc>
          <w:tcPr>
            <w:tcW w:w="3216" w:type="dxa"/>
            <w:vAlign w:val="center"/>
          </w:tcPr>
          <w:p w14:paraId="2DE71A8B" w14:textId="0CF1BC97" w:rsidR="006916ED" w:rsidRPr="00AC7DC6" w:rsidRDefault="00AC7DC6" w:rsidP="007846EF">
            <w:pPr>
              <w:jc w:val="center"/>
            </w:pPr>
            <w:r w:rsidRPr="00AC7DC6">
              <w:t>For tax years beginning in 2019 and 2020, the business interest expenses limitation is increased to 50% maximum.</w:t>
            </w:r>
          </w:p>
        </w:tc>
        <w:tc>
          <w:tcPr>
            <w:tcW w:w="2940" w:type="dxa"/>
            <w:vAlign w:val="center"/>
          </w:tcPr>
          <w:p w14:paraId="15F209C9" w14:textId="26A3EF46" w:rsidR="006916ED" w:rsidRPr="00AC7DC6" w:rsidRDefault="0048667B" w:rsidP="007846EF">
            <w:pPr>
              <w:jc w:val="center"/>
            </w:pPr>
            <w:r>
              <w:t>Consider increasing the amount of business interest you expense for 2019 and 2020.</w:t>
            </w:r>
          </w:p>
        </w:tc>
      </w:tr>
      <w:tr w:rsidR="006916ED" w14:paraId="6CA83F34" w14:textId="77777777" w:rsidTr="000237D4">
        <w:trPr>
          <w:trHeight w:val="2060"/>
          <w:jc w:val="center"/>
        </w:trPr>
        <w:tc>
          <w:tcPr>
            <w:tcW w:w="3216" w:type="dxa"/>
            <w:shd w:val="clear" w:color="auto" w:fill="D5CEEE"/>
            <w:vAlign w:val="center"/>
          </w:tcPr>
          <w:p w14:paraId="782EED4E" w14:textId="5B3D5923" w:rsidR="006916ED" w:rsidRPr="007418DC" w:rsidRDefault="00EE3D75" w:rsidP="007846EF">
            <w:pPr>
              <w:jc w:val="center"/>
              <w:rPr>
                <w:b/>
                <w:bCs/>
                <w:sz w:val="24"/>
                <w:szCs w:val="24"/>
              </w:rPr>
            </w:pPr>
            <w:r w:rsidRPr="007418DC">
              <w:rPr>
                <w:b/>
                <w:bCs/>
                <w:sz w:val="24"/>
                <w:szCs w:val="24"/>
              </w:rPr>
              <w:t>Net Operating Losses (NOLs)</w:t>
            </w:r>
          </w:p>
        </w:tc>
        <w:tc>
          <w:tcPr>
            <w:tcW w:w="3762" w:type="dxa"/>
            <w:shd w:val="clear" w:color="auto" w:fill="D5CEEE"/>
            <w:vAlign w:val="center"/>
          </w:tcPr>
          <w:p w14:paraId="3B52C040" w14:textId="3CCF0EDD" w:rsidR="006916ED" w:rsidRPr="00AC7DC6" w:rsidRDefault="00AC7DC6" w:rsidP="007846EF">
            <w:pPr>
              <w:jc w:val="center"/>
            </w:pPr>
            <w:r w:rsidRPr="00AC7DC6">
              <w:t>NOLs are subject to a taxable-income limitation of 80% and are not allowed to be carried back.</w:t>
            </w:r>
          </w:p>
        </w:tc>
        <w:tc>
          <w:tcPr>
            <w:tcW w:w="3216" w:type="dxa"/>
            <w:shd w:val="clear" w:color="auto" w:fill="D5CEEE"/>
            <w:vAlign w:val="center"/>
          </w:tcPr>
          <w:p w14:paraId="70A62074" w14:textId="33D1A69E" w:rsidR="006916ED" w:rsidRPr="00AC7DC6" w:rsidRDefault="00AC7DC6" w:rsidP="007846EF">
            <w:pPr>
              <w:jc w:val="center"/>
            </w:pPr>
            <w:r w:rsidRPr="00AC7DC6">
              <w:t>(1) NOLs incurred in 2018, 2019, and 2020 can be carried back five years and (2) the taxable income limitation of 80% is temporarily lifted for tax years beginning before January 1, 2021.</w:t>
            </w:r>
          </w:p>
        </w:tc>
        <w:tc>
          <w:tcPr>
            <w:tcW w:w="2940" w:type="dxa"/>
            <w:shd w:val="clear" w:color="auto" w:fill="D5CEEE"/>
            <w:vAlign w:val="center"/>
          </w:tcPr>
          <w:p w14:paraId="3037EDBD" w14:textId="3BE89147" w:rsidR="006916ED" w:rsidRPr="00AC7DC6" w:rsidRDefault="00025F78" w:rsidP="007846EF">
            <w:pPr>
              <w:jc w:val="center"/>
            </w:pPr>
            <w:r w:rsidRPr="00AC7DC6">
              <w:t>Consider filing an amended return in order to generate refunds. To get refunds from 2019 more quickly, file Form 1145. For losses in 2020, be prepared to file the form as soon as possible (sometime in January 2021).</w:t>
            </w:r>
          </w:p>
        </w:tc>
      </w:tr>
      <w:tr w:rsidR="006916ED" w14:paraId="0A38F8C6" w14:textId="77777777" w:rsidTr="000237D4">
        <w:trPr>
          <w:trHeight w:val="1790"/>
          <w:jc w:val="center"/>
        </w:trPr>
        <w:tc>
          <w:tcPr>
            <w:tcW w:w="3216" w:type="dxa"/>
            <w:vAlign w:val="center"/>
          </w:tcPr>
          <w:p w14:paraId="0D8D9C0A" w14:textId="4CBB5D38" w:rsidR="006916ED" w:rsidRPr="007418DC" w:rsidRDefault="00EE3D75" w:rsidP="007846EF">
            <w:pPr>
              <w:jc w:val="center"/>
              <w:rPr>
                <w:b/>
                <w:bCs/>
                <w:sz w:val="24"/>
                <w:szCs w:val="24"/>
              </w:rPr>
            </w:pPr>
            <w:r w:rsidRPr="007418DC">
              <w:rPr>
                <w:b/>
                <w:bCs/>
                <w:sz w:val="24"/>
                <w:szCs w:val="24"/>
              </w:rPr>
              <w:t>Qualified Improvement Property</w:t>
            </w:r>
          </w:p>
        </w:tc>
        <w:tc>
          <w:tcPr>
            <w:tcW w:w="3762" w:type="dxa"/>
            <w:vAlign w:val="center"/>
          </w:tcPr>
          <w:p w14:paraId="0CA7DFB6" w14:textId="592C2936" w:rsidR="006916ED" w:rsidRPr="00AC7DC6" w:rsidRDefault="00AC7DC6" w:rsidP="007846EF">
            <w:pPr>
              <w:jc w:val="center"/>
            </w:pPr>
            <w:r w:rsidRPr="00AC7DC6">
              <w:t>A drafting error in the TCJA set the depreciation window of QIP at 39 years.</w:t>
            </w:r>
          </w:p>
        </w:tc>
        <w:tc>
          <w:tcPr>
            <w:tcW w:w="3216" w:type="dxa"/>
            <w:vAlign w:val="center"/>
          </w:tcPr>
          <w:p w14:paraId="1F3E05D0" w14:textId="401A50F8" w:rsidR="006916ED" w:rsidRPr="00AC7DC6" w:rsidRDefault="00AC7DC6" w:rsidP="007846EF">
            <w:pPr>
              <w:jc w:val="center"/>
            </w:pPr>
            <w:r w:rsidRPr="00AC7DC6">
              <w:t>Reduces the depreciation window of QIP from 39 to 15 years (retroactive to January 1, 2018).</w:t>
            </w:r>
          </w:p>
        </w:tc>
        <w:tc>
          <w:tcPr>
            <w:tcW w:w="2940" w:type="dxa"/>
            <w:vAlign w:val="center"/>
          </w:tcPr>
          <w:p w14:paraId="2971B4FC" w14:textId="60FBB813" w:rsidR="006916ED" w:rsidRPr="00AC7DC6" w:rsidRDefault="00025F78" w:rsidP="007846EF">
            <w:pPr>
              <w:jc w:val="center"/>
            </w:pPr>
            <w:r w:rsidRPr="00AC7DC6">
              <w:t>Consider filing an amended return</w:t>
            </w:r>
            <w:r w:rsidR="00AC7DC6" w:rsidRPr="00AC7DC6">
              <w:t xml:space="preserve"> using bonus depreciation rather than straight-line depreciation.</w:t>
            </w:r>
          </w:p>
        </w:tc>
      </w:tr>
    </w:tbl>
    <w:p w14:paraId="2A64703F" w14:textId="254FD0E8" w:rsidR="006916ED" w:rsidRDefault="006916ED"/>
    <w:sectPr w:rsidR="006916ED" w:rsidSect="000237D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F795" w14:textId="77777777" w:rsidR="004C5F64" w:rsidRDefault="004C5F64" w:rsidP="007846EF">
      <w:pPr>
        <w:spacing w:after="0" w:line="240" w:lineRule="auto"/>
      </w:pPr>
      <w:r>
        <w:separator/>
      </w:r>
    </w:p>
  </w:endnote>
  <w:endnote w:type="continuationSeparator" w:id="0">
    <w:p w14:paraId="1A1D9063" w14:textId="77777777" w:rsidR="004C5F64" w:rsidRDefault="004C5F64" w:rsidP="0078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1CBE2" w14:textId="77777777" w:rsidR="004C5F64" w:rsidRDefault="004C5F64" w:rsidP="007846EF">
      <w:pPr>
        <w:spacing w:after="0" w:line="240" w:lineRule="auto"/>
      </w:pPr>
      <w:r>
        <w:separator/>
      </w:r>
    </w:p>
  </w:footnote>
  <w:footnote w:type="continuationSeparator" w:id="0">
    <w:p w14:paraId="72C54DCB" w14:textId="77777777" w:rsidR="004C5F64" w:rsidRDefault="004C5F64" w:rsidP="00784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B70"/>
    <w:multiLevelType w:val="hybridMultilevel"/>
    <w:tmpl w:val="3C6667EA"/>
    <w:lvl w:ilvl="0" w:tplc="96C8F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D546A"/>
    <w:multiLevelType w:val="hybridMultilevel"/>
    <w:tmpl w:val="271E2236"/>
    <w:lvl w:ilvl="0" w:tplc="D924C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24B46"/>
    <w:multiLevelType w:val="hybridMultilevel"/>
    <w:tmpl w:val="9830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ED"/>
    <w:rsid w:val="000237D4"/>
    <w:rsid w:val="00025F78"/>
    <w:rsid w:val="0048667B"/>
    <w:rsid w:val="004C5F64"/>
    <w:rsid w:val="006501CB"/>
    <w:rsid w:val="006916ED"/>
    <w:rsid w:val="007418DC"/>
    <w:rsid w:val="007846EF"/>
    <w:rsid w:val="00AC7DC6"/>
    <w:rsid w:val="00B4712B"/>
    <w:rsid w:val="00BA3CA5"/>
    <w:rsid w:val="00E639FC"/>
    <w:rsid w:val="00EE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41E5"/>
  <w15:chartTrackingRefBased/>
  <w15:docId w15:val="{2333197F-9DDB-4AD9-A886-0088C988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1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DC6"/>
    <w:pPr>
      <w:ind w:left="720"/>
      <w:contextualSpacing/>
    </w:pPr>
  </w:style>
  <w:style w:type="paragraph" w:styleId="Header">
    <w:name w:val="header"/>
    <w:basedOn w:val="Normal"/>
    <w:link w:val="HeaderChar"/>
    <w:uiPriority w:val="99"/>
    <w:unhideWhenUsed/>
    <w:rsid w:val="00784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6EF"/>
  </w:style>
  <w:style w:type="paragraph" w:styleId="Footer">
    <w:name w:val="footer"/>
    <w:basedOn w:val="Normal"/>
    <w:link w:val="FooterChar"/>
    <w:uiPriority w:val="99"/>
    <w:unhideWhenUsed/>
    <w:rsid w:val="00784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Havens</dc:creator>
  <cp:keywords/>
  <dc:description/>
  <cp:lastModifiedBy>Kaytlyn Hunt</cp:lastModifiedBy>
  <cp:revision>2</cp:revision>
  <dcterms:created xsi:type="dcterms:W3CDTF">2020-04-10T16:35:00Z</dcterms:created>
  <dcterms:modified xsi:type="dcterms:W3CDTF">2020-04-10T16:35:00Z</dcterms:modified>
</cp:coreProperties>
</file>